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13 135 vom 17. Januar 2014</w:t>
      </w:r>
    </w:p>
    <w:p>
      <w:r>
        <w:t>VS Kantonsgericht, 2014-01-17, FR</w:t>
      </w:r>
    </w:p>
    <w:p>
      <w:r>
        <w:rPr>
          <w:b/>
        </w:rPr>
        <w:t xml:space="preserve">Quelle: </w:t>
      </w:r>
      <w:r>
        <w:t>https://mcp.opencaselaw.ch/entscheid/vs_gerichte_P3 13 135</w:t>
      </w:r>
    </w:p>
    <w:p>
      <w:r>
        <w:t>FR: VS_GERICHTE P3 13 135 du 17 janvier 2014</w:t>
      </w:r>
    </w:p>
    <w:p>
      <w:r>
        <w:t>IT: VS_GERICHTE P3 13 135 del 17 gennaio 2014</w:t>
      </w:r>
    </w:p>
    <w:p>
      <w:pPr>
        <w:pStyle w:val="Heading2"/>
      </w:pPr>
      <w:r>
        <w:t>Regeste</w:t>
      </w:r>
    </w:p>
    <w:p>
      <w:r>
        <w:t>P3 13 135 ORDONNANCE DU 17 JANVIER 2014 Tribunal cantonal du Valais Chambre pénale Jacques Berthouzoz, juge ; Mireille Allegro, greffière en la cause pénale X_________ et Y_________, recourants, représentés par Maître A_________ et MINISTÈRE PUBLIC, intimé et Z_________, tiers concerné, représenté par Maître B_________ (capacité de postuler de l’avocat ; défense simultanée de coprévenus ; art. 127 al. 3</w:t>
      </w:r>
    </w:p>
    <w:p>
      <w:pPr>
        <w:pStyle w:val="Heading2"/>
      </w:pPr>
      <w:r>
        <w:t>Erwägungen</w:t>
      </w:r>
    </w:p>
    <w:p>
      <w:r>
        <w:rPr>
          <w:b/>
        </w:rPr>
        <w:t>E. 25</w:t>
      </w:r>
    </w:p>
    <w:p>
      <w:r>
        <w:t>mars 2010 consid. 3.1 ; 2C_885/2010 du 22 février 2011 consid. 3.1 ; AGVE 2012 p. 213 du 30 avril 2012 consid. 3.2.1 et 4.2 ; Harari/Aliberti, Commentaire romand du code de procédure pénale suisse, 2011, n. 62 ad art. 127 CPP ; Chappuis, La pratique</w:t>
      </w:r>
    </w:p>
    <w:p>
      <w:r>
        <w:t>- 7 - contractuelle 3 - Symposium en droit des contrats, 2012, p. 90), risque que l’autorité doit pouvoir étayer par des faits (ATF 135 II 145 consid. 9.2 ; JT 2011 III 74). 3.2 En l’espèce, les recourants ont été interrogés par la police sur les faits qui leur sont reprochés, les 27 décembre 2012, 23 février 2013 et 30 avril 2013, soit, pour les deux affaires dénoncées, avant de confier la défense de leurs intérêts à Me A_________, le 10 mai 2013 (date de la signature des procurations). Dans les deux cas, ils ont décrit des faits identiques et donné des explications convergentes. Leurs déclarations ont été dûment protocolées et on ne voit pas quelles autres mesures d’instruction pourraient encore être diligentées puisque l’ensemble des intéressés ont été entendu par la police et les témoins interrogés. En outre, même si tout risque que l’un ou l’autre des coprévenus change sa version des faits ne peut être, dans l’absolu, catégoriquement exclu, il n’existe toutefois aucun indice allant dans ce sens, en l’état actuel. La simple éventualité d’une séparation ou d’un changement de l’état de santé de l’un des protagonistes, comme avancée par le procureur, ne saurait suffire à admettre un risque concret de conflit d’intérêts. Par ailleurs, l’intérêt des recourants dans la procédure pénale ouverte à leur encontre n’apparaît pas divergent. On ne voit pas comment l’un pourrait reporter la charge sur l’autre et vice et versa, puisque chacun a joué un rôle précis et a été accusé d’actes bien définis. Compte tenu de l’ensemble des circonstances concrètes du cas, dans un souci évident d’efficience, il sied d’admettre la représentation simultanée des concubins X_________ et Y_________ par Me A_________ et, partant, le recours. 4.1 Comme X_________ et Y_________ obtiennent gain de cause, les frais de la procédure de recours sont mis à la charge de l’Etat du Valais (art. 416, 421 al. 2 let. c et 428 al. 1 et 4 CPP). L’émolument, qui doit respecter les principes de la couverture des frais et de l’équivalence des prestations, est fixé en fonction notamment de l’ampleur et de la difficulté de la cause (art. 424 al. 1 CPP et 1 al. 1, 13 al. 1 et 2 LTar) ; qu’il varie entre 90 et 2000 fr. (art. 22 let. g LTar). En l’espèce, eu égard à la complexité moyenne de l’affaire, il est arrêté forfaitairement à 800 fr. (art. 424 al. 2 CPP et 11 LTar). 4.2 Etant donné l’admission du recours, l’Etat du Valais doit aux recourants une juste indemnité pour leurs dépenses occasionnées par la procédure de recours (art. 436 al. 3 CPP). Les honoraires, variant entre 300 et 2200 fr., sont fixés notamment d’après la nature et l’importance de la cause, ses difficultés, l’ampleur du travail et le temps utilement consacré par le conseil juridique (art. 27 al. 1 et 3 et 36 LTar ; arrêt 6B_767/2010 du 24 février 2011 consid. 3.3 et 3.4). En l’espèce, compte tenu de la complexité moyenne de l’affaire et des prestations utiles de Me A_________, auteur d’un recours motivé et d’une lettre complémentaire, ils sont arrêtés à 800 francs.</w:t>
      </w:r>
    </w:p>
    <w:p>
      <w:r>
        <w:t>- 8 -</w:t>
      </w:r>
    </w:p>
    <w:p>
      <w:r>
        <w:t>Prononce</w:t>
      </w:r>
    </w:p>
    <w:p>
      <w:r>
        <w:t>1. Le recours est admis. 2. Les frais, par 800 francs, sont mis à la charge de l’Etat du Valais. 3. L’Etat du Valais versera à X_________ et Y_________ une indemnité de 800 fr. pour les dépenses occasionnées par la procédure de recours.</w:t>
      </w:r>
    </w:p>
    <w:p>
      <w:r>
        <w:t>Sion, le 17 janvier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